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47EB7D66" w:rsidR="00F64BA5" w:rsidRPr="009739B8" w:rsidRDefault="00F64BA5" w:rsidP="00F64BA5">
      <w:pPr>
        <w:pStyle w:val="CRCoverPage"/>
        <w:tabs>
          <w:tab w:val="right" w:pos="9639"/>
        </w:tabs>
        <w:spacing w:after="0"/>
        <w:rPr>
          <w:rFonts w:cs="Arial"/>
          <w:b/>
          <w:i/>
          <w:noProof/>
          <w:sz w:val="28"/>
        </w:rPr>
      </w:pPr>
      <w:r w:rsidRPr="009739B8">
        <w:rPr>
          <w:rFonts w:cs="Arial"/>
          <w:b/>
          <w:noProof/>
          <w:sz w:val="24"/>
        </w:rPr>
        <w:t>3GPP TSG-RAN WG2 Meeting #</w:t>
      </w:r>
      <w:r w:rsidR="004C31A7" w:rsidRPr="009739B8">
        <w:rPr>
          <w:rFonts w:cs="Arial"/>
          <w:b/>
          <w:noProof/>
          <w:sz w:val="24"/>
        </w:rPr>
        <w:t>100</w:t>
      </w:r>
      <w:r w:rsidR="007F6671" w:rsidRPr="009739B8">
        <w:rPr>
          <w:rFonts w:cs="Arial"/>
          <w:b/>
          <w:noProof/>
          <w:sz w:val="24"/>
        </w:rPr>
        <w:t xml:space="preserve"> on NR</w:t>
      </w:r>
      <w:r w:rsidRPr="009739B8">
        <w:rPr>
          <w:rFonts w:cs="Arial"/>
          <w:b/>
          <w:i/>
          <w:noProof/>
          <w:sz w:val="28"/>
        </w:rPr>
        <w:tab/>
      </w:r>
      <w:bookmarkStart w:id="0" w:name="_GoBack"/>
      <w:r w:rsidR="009739B8" w:rsidRPr="009739B8">
        <w:rPr>
          <w:rFonts w:cs="Arial"/>
          <w:b/>
          <w:noProof/>
          <w:sz w:val="28"/>
        </w:rPr>
        <w:t>R2-1713602</w:t>
      </w:r>
      <w:bookmarkEnd w:id="0"/>
    </w:p>
    <w:p w14:paraId="0F028AA1" w14:textId="76E7E67E" w:rsidR="00F64BA5" w:rsidRPr="009739B8" w:rsidRDefault="004C31A7" w:rsidP="00F64BA5">
      <w:pPr>
        <w:pStyle w:val="CRCoverPage"/>
        <w:outlineLvl w:val="0"/>
        <w:rPr>
          <w:rFonts w:cs="Arial"/>
          <w:b/>
          <w:noProof/>
          <w:sz w:val="24"/>
        </w:rPr>
      </w:pPr>
      <w:r w:rsidRPr="009739B8">
        <w:rPr>
          <w:rFonts w:cs="Arial"/>
          <w:b/>
          <w:noProof/>
          <w:sz w:val="24"/>
        </w:rPr>
        <w:t>Reno</w:t>
      </w:r>
      <w:r w:rsidR="00F64BA5" w:rsidRPr="009739B8">
        <w:rPr>
          <w:rFonts w:cs="Arial"/>
          <w:b/>
          <w:noProof/>
          <w:sz w:val="24"/>
        </w:rPr>
        <w:t xml:space="preserve">, </w:t>
      </w:r>
      <w:r w:rsidRPr="009739B8">
        <w:rPr>
          <w:rFonts w:cs="Arial"/>
          <w:b/>
          <w:noProof/>
          <w:sz w:val="24"/>
        </w:rPr>
        <w:t>Nevada</w:t>
      </w:r>
      <w:r w:rsidR="00F64BA5" w:rsidRPr="009739B8">
        <w:rPr>
          <w:rFonts w:cs="Arial"/>
          <w:b/>
          <w:noProof/>
          <w:sz w:val="24"/>
        </w:rPr>
        <w:t xml:space="preserve">, </w:t>
      </w:r>
      <w:r w:rsidRPr="009739B8">
        <w:rPr>
          <w:rFonts w:cs="Arial"/>
          <w:b/>
          <w:noProof/>
          <w:sz w:val="24"/>
        </w:rPr>
        <w:t>27</w:t>
      </w:r>
      <w:r w:rsidR="007F6671" w:rsidRPr="009739B8">
        <w:rPr>
          <w:rFonts w:cs="Arial"/>
          <w:b/>
          <w:noProof/>
          <w:sz w:val="24"/>
          <w:vertAlign w:val="superscript"/>
        </w:rPr>
        <w:t>th</w:t>
      </w:r>
      <w:r w:rsidRPr="009739B8">
        <w:rPr>
          <w:rFonts w:cs="Arial"/>
          <w:b/>
          <w:noProof/>
          <w:sz w:val="24"/>
        </w:rPr>
        <w:t xml:space="preserve"> Nov – 1</w:t>
      </w:r>
      <w:r w:rsidRPr="009739B8">
        <w:rPr>
          <w:rFonts w:cs="Arial"/>
          <w:b/>
          <w:noProof/>
          <w:sz w:val="24"/>
          <w:vertAlign w:val="superscript"/>
        </w:rPr>
        <w:t>st</w:t>
      </w:r>
      <w:r w:rsidR="007F6671" w:rsidRPr="009739B8">
        <w:rPr>
          <w:rFonts w:cs="Arial"/>
          <w:b/>
          <w:noProof/>
          <w:sz w:val="24"/>
        </w:rPr>
        <w:t xml:space="preserve"> </w:t>
      </w:r>
      <w:r w:rsidRPr="009739B8">
        <w:rPr>
          <w:rFonts w:cs="Arial"/>
          <w:b/>
          <w:noProof/>
          <w:sz w:val="24"/>
        </w:rPr>
        <w:t>Dec</w:t>
      </w:r>
      <w:r w:rsidR="00F64BA5" w:rsidRPr="009739B8">
        <w:rPr>
          <w:rFonts w:cs="Arial"/>
          <w:b/>
          <w:noProof/>
          <w:sz w:val="24"/>
        </w:rPr>
        <w:t xml:space="preserve"> 2017</w:t>
      </w:r>
      <w:r w:rsidR="00F64BA5" w:rsidRPr="009739B8">
        <w:rPr>
          <w:rFonts w:cs="Arial"/>
          <w:b/>
          <w:noProof/>
          <w:sz w:val="24"/>
        </w:rPr>
        <w:tab/>
      </w:r>
      <w:r w:rsidR="00F64BA5" w:rsidRPr="009739B8">
        <w:rPr>
          <w:rFonts w:cs="Arial"/>
          <w:b/>
          <w:noProof/>
          <w:sz w:val="24"/>
        </w:rPr>
        <w:tab/>
      </w:r>
      <w:r w:rsidR="00F64BA5" w:rsidRPr="009739B8">
        <w:rPr>
          <w:rFonts w:cs="Arial"/>
          <w:b/>
          <w:noProof/>
          <w:sz w:val="24"/>
        </w:rPr>
        <w:tab/>
      </w:r>
    </w:p>
    <w:p w14:paraId="530B5054" w14:textId="2795214D" w:rsidR="00055EFC" w:rsidRPr="009739B8" w:rsidRDefault="00055EFC" w:rsidP="00055EFC">
      <w:pPr>
        <w:pStyle w:val="3GPPHeader"/>
        <w:rPr>
          <w:rFonts w:ascii="Arial" w:hAnsi="Arial" w:cs="Arial"/>
          <w:sz w:val="22"/>
        </w:rPr>
      </w:pPr>
      <w:r w:rsidRPr="009739B8">
        <w:rPr>
          <w:rFonts w:ascii="Arial" w:hAnsi="Arial" w:cs="Arial"/>
          <w:sz w:val="22"/>
        </w:rPr>
        <w:t>Agenda Item:</w:t>
      </w:r>
      <w:r w:rsidRPr="009739B8">
        <w:rPr>
          <w:rFonts w:ascii="Arial" w:hAnsi="Arial" w:cs="Arial"/>
          <w:sz w:val="22"/>
        </w:rPr>
        <w:tab/>
        <w:t>10.</w:t>
      </w:r>
      <w:r w:rsidR="00671D51" w:rsidRPr="009739B8">
        <w:rPr>
          <w:rFonts w:ascii="Arial" w:hAnsi="Arial" w:cs="Arial"/>
          <w:sz w:val="22"/>
        </w:rPr>
        <w:t>4.1.4.7</w:t>
      </w:r>
    </w:p>
    <w:p w14:paraId="7415946F" w14:textId="77777777" w:rsidR="00055EFC" w:rsidRPr="009739B8" w:rsidRDefault="00055EFC" w:rsidP="00055EFC">
      <w:pPr>
        <w:pStyle w:val="3GPPHeader"/>
        <w:rPr>
          <w:rFonts w:ascii="Arial" w:hAnsi="Arial" w:cs="Arial"/>
          <w:sz w:val="22"/>
        </w:rPr>
      </w:pPr>
      <w:r w:rsidRPr="009739B8">
        <w:rPr>
          <w:rFonts w:ascii="Arial" w:hAnsi="Arial" w:cs="Arial"/>
          <w:sz w:val="22"/>
        </w:rPr>
        <w:t>Source:</w:t>
      </w:r>
      <w:r w:rsidRPr="009739B8">
        <w:rPr>
          <w:rFonts w:ascii="Arial" w:hAnsi="Arial" w:cs="Arial"/>
          <w:sz w:val="22"/>
        </w:rPr>
        <w:tab/>
        <w:t>Ericsson</w:t>
      </w:r>
    </w:p>
    <w:p w14:paraId="5B345F5E" w14:textId="26599E31" w:rsidR="0087117A" w:rsidRPr="009739B8" w:rsidRDefault="0087117A" w:rsidP="0087117A">
      <w:pPr>
        <w:pStyle w:val="3GPPHeader"/>
        <w:rPr>
          <w:rFonts w:ascii="Arial" w:hAnsi="Arial" w:cs="Arial"/>
          <w:sz w:val="22"/>
        </w:rPr>
      </w:pPr>
      <w:r w:rsidRPr="009739B8">
        <w:rPr>
          <w:rFonts w:ascii="Arial" w:hAnsi="Arial" w:cs="Arial"/>
          <w:sz w:val="22"/>
        </w:rPr>
        <w:t>Title:</w:t>
      </w:r>
      <w:r w:rsidRPr="009739B8">
        <w:rPr>
          <w:rFonts w:ascii="Arial" w:hAnsi="Arial" w:cs="Arial"/>
          <w:sz w:val="22"/>
        </w:rPr>
        <w:tab/>
      </w:r>
      <w:r w:rsidR="00E30549" w:rsidRPr="009739B8">
        <w:rPr>
          <w:rFonts w:ascii="Arial" w:hAnsi="Arial" w:cs="Arial"/>
          <w:sz w:val="22"/>
        </w:rPr>
        <w:t xml:space="preserve">SSTD </w:t>
      </w:r>
      <w:r w:rsidR="00655B89" w:rsidRPr="009739B8">
        <w:rPr>
          <w:rFonts w:ascii="Arial" w:hAnsi="Arial" w:cs="Arial"/>
          <w:sz w:val="22"/>
        </w:rPr>
        <w:t xml:space="preserve">measurement configuration </w:t>
      </w:r>
      <w:r w:rsidR="00012F36" w:rsidRPr="009739B8">
        <w:rPr>
          <w:rFonts w:ascii="Arial" w:hAnsi="Arial" w:cs="Arial"/>
          <w:sz w:val="22"/>
        </w:rPr>
        <w:t>and reporting</w:t>
      </w:r>
    </w:p>
    <w:p w14:paraId="033B92B0" w14:textId="77777777" w:rsidR="0087117A" w:rsidRPr="00573E9E" w:rsidRDefault="0087117A" w:rsidP="0087117A">
      <w:pPr>
        <w:pStyle w:val="3GPPHeader"/>
        <w:rPr>
          <w:rFonts w:ascii="Arial" w:hAnsi="Arial" w:cs="Arial"/>
          <w:sz w:val="22"/>
        </w:rPr>
      </w:pPr>
      <w:r w:rsidRPr="009739B8">
        <w:rPr>
          <w:rFonts w:ascii="Arial" w:hAnsi="Arial" w:cs="Arial"/>
          <w:sz w:val="22"/>
        </w:rPr>
        <w:t>Document for:</w:t>
      </w:r>
      <w:r w:rsidRPr="009739B8">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0426CA4A" w14:textId="1622E113" w:rsidR="00230D4B" w:rsidRDefault="00A527B2" w:rsidP="007F6671">
      <w:pPr>
        <w:tabs>
          <w:tab w:val="left" w:pos="1622"/>
        </w:tabs>
        <w:spacing w:after="0" w:line="240" w:lineRule="auto"/>
        <w:rPr>
          <w:rFonts w:ascii="Arial" w:eastAsia="MS Mincho" w:hAnsi="Arial" w:cs="Arial"/>
          <w:sz w:val="20"/>
          <w:szCs w:val="24"/>
          <w:lang w:eastAsia="en-GB"/>
        </w:rPr>
      </w:pPr>
      <w:r w:rsidRPr="00E30549">
        <w:rPr>
          <w:rFonts w:ascii="Arial" w:eastAsia="MS Mincho" w:hAnsi="Arial" w:cs="Arial"/>
          <w:sz w:val="20"/>
          <w:szCs w:val="24"/>
          <w:lang w:eastAsia="en-GB"/>
        </w:rPr>
        <w:t xml:space="preserve">Much progress was made in the RAN2#99bis meeting related </w:t>
      </w:r>
      <w:r w:rsidR="00560CAB">
        <w:rPr>
          <w:rFonts w:ascii="Arial" w:eastAsia="MS Mincho" w:hAnsi="Arial" w:cs="Arial"/>
          <w:sz w:val="20"/>
          <w:szCs w:val="24"/>
          <w:lang w:eastAsia="en-GB"/>
        </w:rPr>
        <w:t>radio resource management</w:t>
      </w:r>
      <w:r w:rsidR="00230D4B">
        <w:rPr>
          <w:rFonts w:ascii="Arial" w:eastAsia="MS Mincho" w:hAnsi="Arial" w:cs="Arial"/>
          <w:sz w:val="20"/>
          <w:szCs w:val="24"/>
          <w:lang w:eastAsia="en-GB"/>
        </w:rPr>
        <w:t>. Among other things, the following was observed from the email discussion related to the RRM TP for TS 38.331</w:t>
      </w:r>
      <w:r w:rsidR="00D86DB0">
        <w:rPr>
          <w:rFonts w:ascii="Arial" w:eastAsia="MS Mincho" w:hAnsi="Arial" w:cs="Arial"/>
          <w:sz w:val="20"/>
          <w:szCs w:val="24"/>
          <w:lang w:eastAsia="en-GB"/>
        </w:rPr>
        <w:t xml:space="preserve"> [1].</w:t>
      </w:r>
    </w:p>
    <w:p w14:paraId="1F6D52D0" w14:textId="1BA42B88" w:rsidR="00560CAB" w:rsidRDefault="00230D4B" w:rsidP="007F6671">
      <w:pPr>
        <w:tabs>
          <w:tab w:val="left" w:pos="1622"/>
        </w:tabs>
        <w:spacing w:after="0" w:line="240" w:lineRule="auto"/>
        <w:rPr>
          <w:rFonts w:ascii="Arial" w:eastAsia="MS Mincho" w:hAnsi="Arial" w:cs="Arial"/>
          <w:sz w:val="20"/>
          <w:szCs w:val="24"/>
          <w:lang w:eastAsia="en-GB"/>
        </w:rPr>
      </w:pPr>
      <w:r>
        <w:rPr>
          <w:rFonts w:ascii="Arial" w:eastAsia="MS Mincho" w:hAnsi="Arial" w:cs="Arial"/>
          <w:sz w:val="20"/>
          <w:szCs w:val="24"/>
          <w:lang w:eastAsia="en-GB"/>
        </w:rPr>
        <w:t xml:space="preserve"> </w:t>
      </w:r>
    </w:p>
    <w:p w14:paraId="2B3C7651" w14:textId="7D803F6D" w:rsidR="00230D4B" w:rsidRPr="00655B89" w:rsidRDefault="00655B89" w:rsidP="007F6671">
      <w:pPr>
        <w:tabs>
          <w:tab w:val="left" w:pos="1622"/>
        </w:tabs>
        <w:spacing w:after="0" w:line="240" w:lineRule="auto"/>
        <w:rPr>
          <w:rFonts w:ascii="Arial" w:eastAsia="MS Mincho" w:hAnsi="Arial" w:cs="Arial"/>
          <w:i/>
          <w:sz w:val="20"/>
          <w:szCs w:val="24"/>
          <w:lang w:eastAsia="en-GB"/>
        </w:rPr>
      </w:pPr>
      <w:r w:rsidRPr="00655B89">
        <w:rPr>
          <w:rFonts w:ascii="Arial" w:eastAsia="MS Mincho" w:hAnsi="Arial" w:cs="Arial"/>
          <w:i/>
          <w:sz w:val="20"/>
          <w:szCs w:val="24"/>
          <w:lang w:eastAsia="en-GB"/>
        </w:rPr>
        <w:t>Summary of discussions 4.3: Most companies prefer to keep FFS the support for SSTD measurement FFS (until measurement gaps are discussed), although 4 companies supported it. The current ASN.1 DRAFT captures that as FFS.</w:t>
      </w:r>
    </w:p>
    <w:p w14:paraId="57117FDE" w14:textId="77777777" w:rsidR="00230D4B" w:rsidRDefault="00230D4B" w:rsidP="007F6671">
      <w:pPr>
        <w:tabs>
          <w:tab w:val="left" w:pos="1622"/>
        </w:tabs>
        <w:spacing w:after="0" w:line="240" w:lineRule="auto"/>
        <w:rPr>
          <w:rFonts w:ascii="Arial" w:eastAsia="MS Mincho" w:hAnsi="Arial" w:cs="Arial"/>
          <w:sz w:val="20"/>
          <w:szCs w:val="24"/>
          <w:lang w:eastAsia="en-GB"/>
        </w:rPr>
      </w:pPr>
    </w:p>
    <w:p w14:paraId="4CEB2654" w14:textId="0BEB7664" w:rsidR="00560CAB" w:rsidRDefault="00655B89" w:rsidP="007F6671">
      <w:pPr>
        <w:tabs>
          <w:tab w:val="left" w:pos="1622"/>
        </w:tabs>
        <w:spacing w:after="0" w:line="240" w:lineRule="auto"/>
        <w:rPr>
          <w:rFonts w:ascii="Arial" w:eastAsia="MS Mincho" w:hAnsi="Arial" w:cs="Arial"/>
          <w:sz w:val="20"/>
          <w:szCs w:val="24"/>
          <w:lang w:eastAsia="en-GB"/>
        </w:rPr>
      </w:pPr>
      <w:r>
        <w:rPr>
          <w:rFonts w:ascii="Arial" w:eastAsia="MS Mincho" w:hAnsi="Arial" w:cs="Arial"/>
          <w:sz w:val="20"/>
          <w:szCs w:val="24"/>
          <w:lang w:eastAsia="en-GB"/>
        </w:rPr>
        <w:t>And the agreement at the meeting was</w:t>
      </w:r>
    </w:p>
    <w:p w14:paraId="63299824" w14:textId="0CB32C9C" w:rsidR="00655B89" w:rsidRDefault="00655B89" w:rsidP="007F6671">
      <w:pPr>
        <w:tabs>
          <w:tab w:val="left" w:pos="1622"/>
        </w:tabs>
        <w:spacing w:after="0" w:line="240" w:lineRule="auto"/>
        <w:rPr>
          <w:rFonts w:ascii="Arial" w:eastAsia="MS Mincho" w:hAnsi="Arial" w:cs="Arial"/>
          <w:sz w:val="20"/>
          <w:szCs w:val="24"/>
          <w:lang w:eastAsia="en-GB"/>
        </w:rPr>
      </w:pPr>
    </w:p>
    <w:p w14:paraId="1046F92E" w14:textId="77777777" w:rsidR="00655B89" w:rsidRPr="00655B89" w:rsidRDefault="00655B89" w:rsidP="00655B89">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rsidRPr="00655B89">
        <w:t>FFS Support SSTD measurement configuration via NR. (to be discussed after December)</w:t>
      </w:r>
    </w:p>
    <w:p w14:paraId="23CD0E88" w14:textId="68DAC148" w:rsidR="00655B89" w:rsidRDefault="00655B89" w:rsidP="007F6671">
      <w:pPr>
        <w:tabs>
          <w:tab w:val="left" w:pos="1622"/>
        </w:tabs>
        <w:spacing w:after="0" w:line="240" w:lineRule="auto"/>
        <w:rPr>
          <w:rFonts w:ascii="Arial" w:eastAsia="MS Mincho" w:hAnsi="Arial" w:cs="Arial"/>
          <w:sz w:val="20"/>
          <w:szCs w:val="24"/>
          <w:lang w:eastAsia="en-GB"/>
        </w:rPr>
      </w:pPr>
    </w:p>
    <w:p w14:paraId="40730F9E" w14:textId="2DA1F4DD" w:rsidR="00D86DB0" w:rsidRDefault="00D86DB0" w:rsidP="007F6671">
      <w:pPr>
        <w:tabs>
          <w:tab w:val="left" w:pos="1622"/>
        </w:tabs>
        <w:spacing w:after="0" w:line="240" w:lineRule="auto"/>
        <w:rPr>
          <w:rFonts w:ascii="Arial" w:eastAsia="MS Mincho" w:hAnsi="Arial" w:cs="Arial"/>
          <w:sz w:val="20"/>
          <w:szCs w:val="24"/>
          <w:lang w:eastAsia="en-GB"/>
        </w:rPr>
      </w:pPr>
      <w:r>
        <w:rPr>
          <w:rFonts w:ascii="Arial" w:eastAsia="MS Mincho" w:hAnsi="Arial" w:cs="Arial"/>
          <w:sz w:val="20"/>
          <w:szCs w:val="24"/>
          <w:lang w:eastAsia="en-GB"/>
        </w:rPr>
        <w:t>Moreover, some details were also agreed as part of an EN-DC SSTD discussion [2], with the agreements:</w:t>
      </w:r>
    </w:p>
    <w:p w14:paraId="393B7E61" w14:textId="3A6C1CA4" w:rsidR="00D86DB0" w:rsidRDefault="00D86DB0" w:rsidP="007F6671">
      <w:pPr>
        <w:tabs>
          <w:tab w:val="left" w:pos="1622"/>
        </w:tabs>
        <w:spacing w:after="0" w:line="240" w:lineRule="auto"/>
        <w:rPr>
          <w:rFonts w:ascii="Arial" w:eastAsia="MS Mincho" w:hAnsi="Arial" w:cs="Arial"/>
          <w:sz w:val="20"/>
          <w:szCs w:val="24"/>
          <w:lang w:eastAsia="en-GB"/>
        </w:rPr>
      </w:pPr>
    </w:p>
    <w:p w14:paraId="62CABD67" w14:textId="77777777" w:rsidR="00D86DB0" w:rsidRPr="00DC03F0" w:rsidRDefault="00D86DB0" w:rsidP="00D86DB0">
      <w:pPr>
        <w:pStyle w:val="Doc-text2"/>
        <w:rPr>
          <w:rFonts w:ascii="Arial" w:hAnsi="Arial" w:cs="Times New Roman"/>
          <w:sz w:val="20"/>
        </w:rPr>
      </w:pPr>
    </w:p>
    <w:p w14:paraId="16D0F662"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r w:rsidRPr="00D86DB0">
        <w:t>Agreements:</w:t>
      </w:r>
    </w:p>
    <w:p w14:paraId="6988B889"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r w:rsidRPr="00D86DB0">
        <w:t>1:</w:t>
      </w:r>
      <w:r w:rsidRPr="00D86DB0">
        <w:tab/>
        <w:t>SSTD measurements for EN-DC are supported with the following principles (as in LTE):</w:t>
      </w:r>
    </w:p>
    <w:p w14:paraId="3D1C3CAE"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r w:rsidRPr="00D86DB0">
        <w:t>a.</w:t>
      </w:r>
      <w:r w:rsidRPr="00D86DB0">
        <w:tab/>
        <w:t>MeNB can configure SFN/subframe offset reporting for PSCell only when EN-DC is configured.</w:t>
      </w:r>
    </w:p>
    <w:p w14:paraId="7F50C20A"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r w:rsidRPr="00D86DB0">
        <w:t>b.</w:t>
      </w:r>
      <w:r w:rsidRPr="00D86DB0">
        <w:tab/>
        <w:t>UE only needs to read MIB to measure/report SFN/subframe offset.</w:t>
      </w:r>
    </w:p>
    <w:p w14:paraId="5830E9E0"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r w:rsidRPr="00D86DB0">
        <w:t>c.</w:t>
      </w:r>
      <w:r w:rsidRPr="00D86DB0">
        <w:tab/>
        <w:t>MeNB forwards the SFN/subframe offset from MeNB to SgNB using “SCG-ConfigInfo” (FFS on IE name).</w:t>
      </w:r>
    </w:p>
    <w:p w14:paraId="6789141C"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r w:rsidRPr="00D86DB0">
        <w:t>d.</w:t>
      </w:r>
      <w:r w:rsidRPr="00D86DB0">
        <w:tab/>
        <w:t>One shot reporting (i.e. eNB configures measurement and UE sends single report to eNB, not periodical).</w:t>
      </w:r>
    </w:p>
    <w:p w14:paraId="10D558EE"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r w:rsidRPr="00D86DB0">
        <w:t>2</w:t>
      </w:r>
      <w:r w:rsidRPr="00D86DB0">
        <w:tab/>
        <w:t>The definition of LTE SSTD is reused for NR (to be confirmed by RAN4).</w:t>
      </w:r>
    </w:p>
    <w:p w14:paraId="63C1655F"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r w:rsidRPr="00D86DB0">
        <w:t>3</w:t>
      </w:r>
      <w:r w:rsidRPr="00D86DB0">
        <w:tab/>
        <w:t>Attempt to introduce in LTE RRC by reusing the reporting for LTE DC.</w:t>
      </w:r>
    </w:p>
    <w:p w14:paraId="0D5ACF39"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p>
    <w:p w14:paraId="6FCC6BC9" w14:textId="77777777" w:rsidR="00D86DB0" w:rsidRPr="00D86DB0" w:rsidRDefault="00D86DB0" w:rsidP="00D86DB0">
      <w:pPr>
        <w:pStyle w:val="Doc-text2"/>
        <w:pBdr>
          <w:top w:val="single" w:sz="4" w:space="1" w:color="auto"/>
          <w:left w:val="single" w:sz="4" w:space="4" w:color="auto"/>
          <w:bottom w:val="single" w:sz="4" w:space="1" w:color="auto"/>
          <w:right w:val="single" w:sz="4" w:space="4" w:color="auto"/>
        </w:pBdr>
      </w:pPr>
      <w:r w:rsidRPr="00D86DB0">
        <w:t>FFS: Whether to extend SSTD measurement reporting for cells that are not yet configured.</w:t>
      </w:r>
    </w:p>
    <w:p w14:paraId="60938B67" w14:textId="1757E7BB" w:rsidR="00D86DB0" w:rsidRDefault="00D86DB0" w:rsidP="007F6671">
      <w:pPr>
        <w:tabs>
          <w:tab w:val="left" w:pos="1622"/>
        </w:tabs>
        <w:spacing w:after="0" w:line="240" w:lineRule="auto"/>
        <w:rPr>
          <w:rFonts w:ascii="Arial" w:eastAsia="MS Mincho" w:hAnsi="Arial" w:cs="Arial"/>
          <w:sz w:val="20"/>
          <w:szCs w:val="24"/>
          <w:lang w:eastAsia="en-GB"/>
        </w:rPr>
      </w:pPr>
    </w:p>
    <w:p w14:paraId="2261A755" w14:textId="77777777" w:rsidR="00D86DB0" w:rsidRDefault="00D86DB0" w:rsidP="007F6671">
      <w:pPr>
        <w:tabs>
          <w:tab w:val="left" w:pos="1622"/>
        </w:tabs>
        <w:spacing w:after="0" w:line="240" w:lineRule="auto"/>
        <w:rPr>
          <w:rFonts w:ascii="Arial" w:eastAsia="MS Mincho" w:hAnsi="Arial" w:cs="Arial"/>
          <w:sz w:val="20"/>
          <w:szCs w:val="24"/>
          <w:lang w:eastAsia="en-GB"/>
        </w:rPr>
      </w:pPr>
    </w:p>
    <w:p w14:paraId="1EB11B3B" w14:textId="532152D1" w:rsidR="008256C6" w:rsidRPr="00E30549" w:rsidRDefault="00655B89" w:rsidP="007F6671">
      <w:pPr>
        <w:tabs>
          <w:tab w:val="left" w:pos="1622"/>
        </w:tabs>
        <w:spacing w:after="0" w:line="240" w:lineRule="auto"/>
        <w:rPr>
          <w:rFonts w:ascii="Arial" w:eastAsia="MS Mincho" w:hAnsi="Arial" w:cs="Arial"/>
          <w:sz w:val="20"/>
          <w:szCs w:val="24"/>
          <w:lang w:eastAsia="en-GB"/>
        </w:rPr>
      </w:pPr>
      <w:r>
        <w:rPr>
          <w:rFonts w:ascii="Arial" w:eastAsia="MS Mincho" w:hAnsi="Arial" w:cs="Arial"/>
          <w:sz w:val="20"/>
          <w:szCs w:val="24"/>
          <w:lang w:eastAsia="en-GB"/>
        </w:rPr>
        <w:t>In this contribution, we d</w:t>
      </w:r>
      <w:r w:rsidR="00036344">
        <w:rPr>
          <w:rFonts w:ascii="Arial" w:eastAsia="MS Mincho" w:hAnsi="Arial" w:cs="Arial"/>
          <w:sz w:val="20"/>
          <w:szCs w:val="24"/>
          <w:lang w:eastAsia="en-GB"/>
        </w:rPr>
        <w:t>iscuss SSTD measurements further, even though it is planned after December</w:t>
      </w:r>
      <w:r>
        <w:rPr>
          <w:rFonts w:ascii="Arial" w:eastAsia="MS Mincho" w:hAnsi="Arial" w:cs="Arial"/>
          <w:sz w:val="20"/>
          <w:szCs w:val="24"/>
          <w:lang w:eastAsia="en-GB"/>
        </w:rPr>
        <w:t>.</w:t>
      </w:r>
    </w:p>
    <w:p w14:paraId="0E290CF7" w14:textId="00F65FD5" w:rsidR="00017BB9" w:rsidRDefault="00D8203B" w:rsidP="00FB4B14">
      <w:pPr>
        <w:pStyle w:val="Heading1"/>
        <w:rPr>
          <w:lang w:val="en-US"/>
        </w:rPr>
      </w:pPr>
      <w:bookmarkStart w:id="2" w:name="_Ref178064866"/>
      <w:bookmarkStart w:id="3" w:name="_Ref462918989"/>
      <w:r w:rsidRPr="00573E9E">
        <w:rPr>
          <w:lang w:val="en-US"/>
        </w:rPr>
        <w:t>Discussion</w:t>
      </w:r>
      <w:bookmarkEnd w:id="2"/>
    </w:p>
    <w:p w14:paraId="67528F17" w14:textId="77777777" w:rsidR="00A834BE" w:rsidRDefault="00A834BE" w:rsidP="00655B89">
      <w:pPr>
        <w:rPr>
          <w:lang w:eastAsia="zh-CN"/>
        </w:rPr>
      </w:pPr>
      <w:r>
        <w:rPr>
          <w:lang w:eastAsia="zh-CN"/>
        </w:rPr>
        <w:t>The SFN and subframe timing difference (SSTD) measurements was introduced in LTE to support dual connectivity, and is needed in order to support multiconnectivity in NR NSA and SA.</w:t>
      </w:r>
    </w:p>
    <w:p w14:paraId="551DE77E" w14:textId="15B4E80F" w:rsidR="00403BA1" w:rsidRPr="00403BA1" w:rsidRDefault="00403BA1" w:rsidP="00403BA1">
      <w:pPr>
        <w:spacing w:after="120"/>
        <w:rPr>
          <w:rFonts w:ascii="Times New Roman" w:eastAsia="Times New Roman" w:hAnsi="Times New Roman" w:cs="Times New Roman"/>
          <w:sz w:val="20"/>
          <w:szCs w:val="20"/>
          <w:lang w:eastAsia="zh-CN"/>
        </w:rPr>
      </w:pPr>
      <w:r>
        <w:t>The SSTD</w:t>
      </w:r>
      <w:r w:rsidRPr="00403BA1">
        <w:t xml:space="preserve"> measurement report</w:t>
      </w:r>
      <w:r>
        <w:t xml:space="preserve"> in LTE</w:t>
      </w:r>
      <w:r w:rsidRPr="00403BA1">
        <w:t xml:space="preserve"> comprises 3 elements:</w:t>
      </w:r>
    </w:p>
    <w:p w14:paraId="4EA884B5" w14:textId="77777777" w:rsidR="00403BA1" w:rsidRDefault="00403BA1" w:rsidP="00F852DA">
      <w:pPr>
        <w:pStyle w:val="B1"/>
        <w:numPr>
          <w:ilvl w:val="0"/>
          <w:numId w:val="34"/>
        </w:numPr>
        <w:rPr>
          <w:lang w:eastAsia="zh-CN"/>
        </w:rPr>
      </w:pPr>
      <w:r w:rsidRPr="00403BA1">
        <w:t>SFN offset between MeNB and SeNB (</w:t>
      </w:r>
      <w:r>
        <w:sym w:font="Symbol" w:char="F044"/>
      </w:r>
      <w:r w:rsidRPr="00403BA1">
        <w:t xml:space="preserve">X) </w:t>
      </w:r>
    </w:p>
    <w:p w14:paraId="6D897A29" w14:textId="08599CA9" w:rsidR="00403BA1" w:rsidRPr="00403BA1" w:rsidRDefault="00403BA1" w:rsidP="00403BA1">
      <w:pPr>
        <w:pStyle w:val="B1"/>
        <w:ind w:left="720" w:firstLine="0"/>
        <w:rPr>
          <w:lang w:eastAsia="zh-CN"/>
        </w:rPr>
      </w:pPr>
      <w:r w:rsidRPr="00403BA1">
        <w:rPr>
          <w:lang w:eastAsia="zh-CN"/>
        </w:rPr>
        <w:lastRenderedPageBreak/>
        <w:t xml:space="preserve">Reporting range of </w:t>
      </w:r>
      <w:r>
        <w:sym w:font="Symbol" w:char="F044"/>
      </w:r>
      <w:r w:rsidRPr="00403BA1">
        <w:t>X</w:t>
      </w:r>
      <w:r w:rsidRPr="00403BA1">
        <w:rPr>
          <w:lang w:eastAsia="zh-CN"/>
        </w:rPr>
        <w:t xml:space="preserve"> is between frame number # 0 to frame number # </w:t>
      </w:r>
      <w:r>
        <w:rPr>
          <w:lang w:eastAsia="zh-CN"/>
        </w:rPr>
        <w:t>1023 as defined in TS 36.331</w:t>
      </w:r>
      <w:r w:rsidRPr="00403BA1">
        <w:rPr>
          <w:lang w:eastAsia="zh-CN"/>
        </w:rPr>
        <w:t>.</w:t>
      </w:r>
    </w:p>
    <w:p w14:paraId="02D93289" w14:textId="77777777" w:rsidR="00403BA1" w:rsidRDefault="00403BA1" w:rsidP="00F852DA">
      <w:pPr>
        <w:pStyle w:val="B1"/>
        <w:numPr>
          <w:ilvl w:val="0"/>
          <w:numId w:val="34"/>
        </w:numPr>
      </w:pPr>
      <w:r w:rsidRPr="00403BA1">
        <w:t>Frame boundary offset between MeNB and SeNB (</w:t>
      </w:r>
      <w:r>
        <w:sym w:font="Symbol" w:char="F044"/>
      </w:r>
      <w:r w:rsidRPr="00403BA1">
        <w:t xml:space="preserve">Y) </w:t>
      </w:r>
    </w:p>
    <w:p w14:paraId="4C0D6848" w14:textId="7AA90A15" w:rsidR="00403BA1" w:rsidRPr="00403BA1" w:rsidRDefault="00403BA1" w:rsidP="00403BA1">
      <w:pPr>
        <w:pStyle w:val="B1"/>
        <w:ind w:left="720" w:firstLine="0"/>
      </w:pPr>
      <w:r w:rsidRPr="00403BA1">
        <w:rPr>
          <w:lang w:eastAsia="zh-CN"/>
        </w:rPr>
        <w:t xml:space="preserve">Reporting range of </w:t>
      </w:r>
      <w:r>
        <w:sym w:font="Symbol" w:char="F044"/>
      </w:r>
      <w:r>
        <w:t>Y is between subfram</w:t>
      </w:r>
      <w:r w:rsidRPr="00403BA1">
        <w:t>e number #</w:t>
      </w:r>
      <w:r w:rsidRPr="00403BA1">
        <w:rPr>
          <w:lang w:eastAsia="zh-CN"/>
        </w:rPr>
        <w:t>-5 and subframe numbe</w:t>
      </w:r>
      <w:r>
        <w:rPr>
          <w:lang w:eastAsia="zh-CN"/>
        </w:rPr>
        <w:t>r# 4 as defined in TS 36.331</w:t>
      </w:r>
      <w:r w:rsidRPr="00403BA1">
        <w:rPr>
          <w:lang w:eastAsia="zh-CN"/>
        </w:rPr>
        <w:t>.</w:t>
      </w:r>
    </w:p>
    <w:p w14:paraId="78D50458" w14:textId="77777777" w:rsidR="00403BA1" w:rsidRDefault="00403BA1" w:rsidP="00F852DA">
      <w:pPr>
        <w:pStyle w:val="B1"/>
        <w:numPr>
          <w:ilvl w:val="0"/>
          <w:numId w:val="34"/>
        </w:numPr>
      </w:pPr>
      <w:r w:rsidRPr="00403BA1">
        <w:t>Subframe boundary offset between MeNB and SeNB (</w:t>
      </w:r>
      <w:r>
        <w:sym w:font="Symbol" w:char="F044"/>
      </w:r>
      <w:r w:rsidRPr="00403BA1">
        <w:t>Z)</w:t>
      </w:r>
    </w:p>
    <w:p w14:paraId="1173D423" w14:textId="75DB8EFC" w:rsidR="00403BA1" w:rsidRPr="00403BA1" w:rsidRDefault="00403BA1" w:rsidP="00403BA1">
      <w:pPr>
        <w:pStyle w:val="B1"/>
        <w:ind w:left="720" w:firstLine="0"/>
      </w:pPr>
      <w:r w:rsidRPr="00403BA1">
        <w:rPr>
          <w:lang w:eastAsia="zh-CN"/>
        </w:rPr>
        <w:t xml:space="preserve">The reporting range of value of </w:t>
      </w:r>
      <w:r>
        <w:sym w:font="Symbol" w:char="F044"/>
      </w:r>
      <w:r w:rsidRPr="00403BA1">
        <w:t>Z</w:t>
      </w:r>
      <w:r w:rsidRPr="00403BA1">
        <w:rPr>
          <w:lang w:eastAsia="zh-CN"/>
        </w:rPr>
        <w:t xml:space="preserve"> is within </w:t>
      </w:r>
      <w:r w:rsidRPr="00403BA1">
        <w:rPr>
          <w:rFonts w:cs="Arial"/>
        </w:rPr>
        <w:t>[</w:t>
      </w:r>
      <w:r w:rsidRPr="00403BA1">
        <w:t>-1320Ts</w:t>
      </w:r>
      <w:r w:rsidRPr="00403BA1">
        <w:rPr>
          <w:lang w:eastAsia="zh-CN"/>
        </w:rPr>
        <w:t>,</w:t>
      </w:r>
      <w:r w:rsidRPr="00403BA1">
        <w:t xml:space="preserve"> -700Ts] and [700Ts</w:t>
      </w:r>
      <w:r w:rsidRPr="00403BA1">
        <w:rPr>
          <w:lang w:eastAsia="zh-CN"/>
        </w:rPr>
        <w:t>,</w:t>
      </w:r>
      <w:r w:rsidRPr="00403BA1">
        <w:t xml:space="preserve"> 1320Ts] </w:t>
      </w:r>
      <w:r w:rsidRPr="00403BA1">
        <w:rPr>
          <w:lang w:eastAsia="zh-CN"/>
        </w:rPr>
        <w:t>with reporting granularity of 10Ts.</w:t>
      </w:r>
      <w:r>
        <w:rPr>
          <w:lang w:eastAsia="zh-CN"/>
        </w:rPr>
        <w:t xml:space="preserve"> </w:t>
      </w:r>
      <w:r w:rsidRPr="00403BA1">
        <w:t xml:space="preserve">The mapping of measured Subframe boundary offset </w:t>
      </w:r>
      <w:r w:rsidRPr="00403BA1">
        <w:rPr>
          <w:lang w:eastAsia="zh-CN"/>
        </w:rPr>
        <w:t>(</w:t>
      </w:r>
      <w:r>
        <w:sym w:font="Symbol" w:char="F044"/>
      </w:r>
      <w:r w:rsidRPr="00403BA1">
        <w:t>Z</w:t>
      </w:r>
      <w:r w:rsidRPr="00403BA1">
        <w:rPr>
          <w:lang w:eastAsia="zh-CN"/>
        </w:rPr>
        <w:t xml:space="preserve">) </w:t>
      </w:r>
      <w:r w:rsidRPr="00403BA1">
        <w:t>is defined in Table 9.1.20.</w:t>
      </w:r>
      <w:r w:rsidRPr="00403BA1">
        <w:rPr>
          <w:lang w:eastAsia="zh-CN"/>
        </w:rPr>
        <w:t>2</w:t>
      </w:r>
      <w:r>
        <w:t>-1 of TS 36.133.</w:t>
      </w:r>
    </w:p>
    <w:p w14:paraId="17E4E5E0" w14:textId="703D7929" w:rsidR="00DC03F0" w:rsidRDefault="00403BA1" w:rsidP="00036344">
      <w:pPr>
        <w:rPr>
          <w:lang w:eastAsia="zh-CN"/>
        </w:rPr>
      </w:pPr>
      <w:r>
        <w:rPr>
          <w:lang w:eastAsia="zh-CN"/>
        </w:rPr>
        <w:t>T</w:t>
      </w:r>
      <w:r w:rsidR="006D5017">
        <w:rPr>
          <w:lang w:eastAsia="zh-CN"/>
        </w:rPr>
        <w:t>hese elements need to be revisited for SSTD measurement reporting</w:t>
      </w:r>
      <w:r w:rsidR="000B3BA9">
        <w:rPr>
          <w:lang w:eastAsia="zh-CN"/>
        </w:rPr>
        <w:t xml:space="preserve"> involving NR cells</w:t>
      </w:r>
      <w:r w:rsidR="006D5017">
        <w:rPr>
          <w:lang w:eastAsia="zh-CN"/>
        </w:rPr>
        <w:t xml:space="preserve">. </w:t>
      </w:r>
      <w:r w:rsidR="00DC03F0">
        <w:rPr>
          <w:lang w:eastAsia="zh-CN"/>
        </w:rPr>
        <w:t>In particular, RAN4 has disclosed new information [3]</w:t>
      </w:r>
      <w:r w:rsidR="00E81EE1">
        <w:rPr>
          <w:lang w:eastAsia="zh-CN"/>
        </w:rPr>
        <w:t>,</w:t>
      </w:r>
      <w:r w:rsidR="00DC03F0">
        <w:rPr>
          <w:lang w:eastAsia="zh-CN"/>
        </w:rPr>
        <w:t xml:space="preserve"> where they have stressed one key difference between LTE and NR</w:t>
      </w:r>
      <w:r w:rsidR="00E81EE1">
        <w:rPr>
          <w:lang w:eastAsia="zh-CN"/>
        </w:rPr>
        <w:t xml:space="preserve"> in that LTE has only one TTI length of 1ms, while NR supports several different TTI lengths. Therefore, RAN2 shall await information from RAN4 on the suitable design of the SSDT measurement report for NR SA and NSA.</w:t>
      </w:r>
    </w:p>
    <w:p w14:paraId="74B77409" w14:textId="19A006E1" w:rsidR="00DC03F0" w:rsidRDefault="00E81EE1" w:rsidP="00E81EE1">
      <w:pPr>
        <w:ind w:left="1701" w:hanging="1701"/>
        <w:rPr>
          <w:b/>
          <w:lang w:eastAsia="zh-CN"/>
        </w:rPr>
      </w:pPr>
      <w:r w:rsidRPr="00E81EE1">
        <w:rPr>
          <w:b/>
          <w:lang w:eastAsia="zh-CN"/>
        </w:rPr>
        <w:t>Observation 1</w:t>
      </w:r>
      <w:r w:rsidRPr="00E81EE1">
        <w:rPr>
          <w:b/>
          <w:lang w:eastAsia="zh-CN"/>
        </w:rPr>
        <w:tab/>
        <w:t>RAN4 has discussed issues with the different TTI lengths of NR, which makes reporting of TTI boundary offsets more appropriate</w:t>
      </w:r>
      <w:r w:rsidR="008A310E">
        <w:rPr>
          <w:b/>
          <w:lang w:eastAsia="zh-CN"/>
        </w:rPr>
        <w:t xml:space="preserve"> than SFN/subframe boundary offsets</w:t>
      </w:r>
      <w:r w:rsidRPr="00E81EE1">
        <w:rPr>
          <w:b/>
          <w:lang w:eastAsia="zh-CN"/>
        </w:rPr>
        <w:t>.</w:t>
      </w:r>
    </w:p>
    <w:p w14:paraId="2B349D90" w14:textId="63AA30E6" w:rsidR="008A310E" w:rsidRPr="00E81EE1" w:rsidRDefault="008A310E" w:rsidP="00E81EE1">
      <w:pPr>
        <w:ind w:left="1701" w:hanging="1701"/>
        <w:rPr>
          <w:b/>
          <w:lang w:eastAsia="zh-CN"/>
        </w:rPr>
      </w:pPr>
      <w:r>
        <w:rPr>
          <w:b/>
          <w:lang w:eastAsia="zh-CN"/>
        </w:rPr>
        <w:t>Proposal 1</w:t>
      </w:r>
      <w:r>
        <w:rPr>
          <w:b/>
          <w:lang w:eastAsia="zh-CN"/>
        </w:rPr>
        <w:tab/>
      </w:r>
      <w:r w:rsidR="005E1C08">
        <w:rPr>
          <w:b/>
          <w:lang w:eastAsia="zh-CN"/>
        </w:rPr>
        <w:t>RAN2 shall await input from RAN4 before deciding the SSTD measurement report design and scope.</w:t>
      </w:r>
    </w:p>
    <w:p w14:paraId="07F33389" w14:textId="2FA01C7A" w:rsidR="00DC03F0" w:rsidRPr="00012F36" w:rsidRDefault="005E1C08" w:rsidP="00036344">
      <w:pPr>
        <w:rPr>
          <w:lang w:eastAsia="zh-CN"/>
        </w:rPr>
      </w:pPr>
      <w:r>
        <w:rPr>
          <w:lang w:eastAsia="zh-CN"/>
        </w:rPr>
        <w:t xml:space="preserve">On the boundary offset resolution, </w:t>
      </w:r>
      <w:r w:rsidR="00036344">
        <w:rPr>
          <w:lang w:eastAsia="zh-CN"/>
        </w:rPr>
        <w:t>w</w:t>
      </w:r>
      <w:r w:rsidR="006D5017" w:rsidRPr="006D5017">
        <w:rPr>
          <w:lang w:eastAsia="zh-CN"/>
        </w:rPr>
        <w:t xml:space="preserve">ith the NR basic time unit </w:t>
      </w:r>
      <w:r w:rsidR="006D5017">
        <w:rPr>
          <w:rFonts w:ascii="Times New Roman" w:eastAsia="Times New Roman" w:hAnsi="Times New Roman" w:cs="Times New Roman"/>
          <w:position w:val="-10"/>
          <w:sz w:val="20"/>
          <w:szCs w:val="20"/>
          <w:lang w:val="en-GB"/>
        </w:rPr>
        <w:object w:dxaOrig="1545" w:dyaOrig="315" w14:anchorId="108AD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5.55pt" o:ole="">
            <v:imagedata r:id="rId13" o:title=""/>
          </v:shape>
          <o:OLEObject Type="Embed" ProgID="Equation.3" ShapeID="_x0000_i1025" DrawAspect="Content" ObjectID="_1572395558" r:id="rId14"/>
        </w:object>
      </w:r>
      <w:r w:rsidR="006D5017" w:rsidRPr="006D5017">
        <w:t xml:space="preserve"> where </w:t>
      </w:r>
      <w:r w:rsidR="006D5017">
        <w:rPr>
          <w:rFonts w:ascii="Times New Roman" w:eastAsia="Times New Roman" w:hAnsi="Times New Roman" w:cs="Times New Roman"/>
          <w:position w:val="-10"/>
          <w:sz w:val="20"/>
          <w:szCs w:val="20"/>
          <w:lang w:val="en-GB"/>
        </w:rPr>
        <w:object w:dxaOrig="1380" w:dyaOrig="360" w14:anchorId="387C9771">
          <v:shape id="_x0000_i1026" type="#_x0000_t75" style="width:69.1pt;height:19pt" o:ole="">
            <v:imagedata r:id="rId15" o:title=""/>
          </v:shape>
          <o:OLEObject Type="Embed" ProgID="Equation.3" ShapeID="_x0000_i1026" DrawAspect="Content" ObjectID="_1572395559" r:id="rId16"/>
        </w:object>
      </w:r>
      <w:r w:rsidR="006D5017" w:rsidRPr="006D5017">
        <w:t xml:space="preserve"> Hz and </w:t>
      </w:r>
      <w:r w:rsidR="006D5017">
        <w:rPr>
          <w:rFonts w:ascii="Times New Roman" w:eastAsia="Times New Roman" w:hAnsi="Times New Roman" w:cs="Times New Roman"/>
          <w:position w:val="-10"/>
          <w:sz w:val="20"/>
          <w:szCs w:val="20"/>
          <w:lang w:val="en-GB"/>
        </w:rPr>
        <w:object w:dxaOrig="915" w:dyaOrig="315" w14:anchorId="1ECA9103">
          <v:shape id="_x0000_i1027" type="#_x0000_t75" style="width:45.5pt;height:15.55pt" o:ole="">
            <v:imagedata r:id="rId17" o:title=""/>
          </v:shape>
          <o:OLEObject Type="Embed" ProgID="Equation.3" ShapeID="_x0000_i1027" DrawAspect="Content" ObjectID="_1572395560" r:id="rId18"/>
        </w:object>
      </w:r>
      <w:r w:rsidR="006D5017" w:rsidRPr="006D5017">
        <w:t xml:space="preserve">, </w:t>
      </w:r>
      <w:r w:rsidR="00012F36">
        <w:t xml:space="preserve">and an anticipated </w:t>
      </w:r>
      <w:r>
        <w:t xml:space="preserve">different adequate </w:t>
      </w:r>
      <w:r w:rsidR="00012F36">
        <w:t>resolution</w:t>
      </w:r>
      <w:r>
        <w:t>,</w:t>
      </w:r>
      <w:r w:rsidR="00012F36">
        <w:t xml:space="preserve"> </w:t>
      </w:r>
      <w:r w:rsidR="006D5017" w:rsidRPr="006D5017">
        <w:t xml:space="preserve">the range of </w:t>
      </w:r>
      <w:r w:rsidR="006D5017">
        <w:sym w:font="Symbol" w:char="F044"/>
      </w:r>
      <w:r w:rsidR="006D5017" w:rsidRPr="006D5017">
        <w:t>Z needs to be changed</w:t>
      </w:r>
      <w:r w:rsidR="00012F36">
        <w:t>.</w:t>
      </w:r>
      <w:r w:rsidR="006D5017" w:rsidRPr="006D5017">
        <w:t xml:space="preserve"> </w:t>
      </w:r>
    </w:p>
    <w:p w14:paraId="7D21091E" w14:textId="51AF334D" w:rsidR="0095212E" w:rsidRDefault="005E1C08" w:rsidP="005E1C08">
      <w:pPr>
        <w:pStyle w:val="Proposal"/>
        <w:numPr>
          <w:ilvl w:val="0"/>
          <w:numId w:val="0"/>
        </w:numPr>
        <w:ind w:left="1701" w:hanging="1701"/>
        <w:jc w:val="both"/>
        <w:rPr>
          <w:rFonts w:ascii="Arial" w:hAnsi="Arial" w:cs="Arial"/>
          <w:sz w:val="20"/>
          <w:szCs w:val="20"/>
        </w:rPr>
      </w:pPr>
      <w:bookmarkStart w:id="4" w:name="_Hlk490234545"/>
      <w:r>
        <w:rPr>
          <w:rFonts w:ascii="Arial" w:hAnsi="Arial" w:cs="Arial"/>
          <w:sz w:val="20"/>
          <w:szCs w:val="20"/>
        </w:rPr>
        <w:t>Proposal 2</w:t>
      </w:r>
      <w:r>
        <w:rPr>
          <w:rFonts w:ascii="Arial" w:hAnsi="Arial" w:cs="Arial"/>
          <w:sz w:val="20"/>
          <w:szCs w:val="20"/>
        </w:rPr>
        <w:tab/>
      </w:r>
      <w:r w:rsidR="00036344">
        <w:rPr>
          <w:rFonts w:ascii="Arial" w:hAnsi="Arial" w:cs="Arial"/>
          <w:sz w:val="20"/>
          <w:szCs w:val="20"/>
        </w:rPr>
        <w:t>Define</w:t>
      </w:r>
      <w:r w:rsidR="00012F36">
        <w:rPr>
          <w:rFonts w:ascii="Arial" w:hAnsi="Arial" w:cs="Arial"/>
          <w:sz w:val="20"/>
          <w:szCs w:val="20"/>
        </w:rPr>
        <w:t xml:space="preserve"> the </w:t>
      </w:r>
      <w:r w:rsidR="00F852DA">
        <w:rPr>
          <w:rFonts w:ascii="Arial" w:hAnsi="Arial" w:cs="Arial"/>
          <w:sz w:val="20"/>
          <w:szCs w:val="20"/>
        </w:rPr>
        <w:t>boundary offset</w:t>
      </w:r>
      <w:r w:rsidR="00012F36">
        <w:rPr>
          <w:rFonts w:ascii="Arial" w:hAnsi="Arial" w:cs="Arial"/>
          <w:sz w:val="20"/>
          <w:szCs w:val="20"/>
        </w:rPr>
        <w:t xml:space="preserve"> of the SSTD measurement report </w:t>
      </w:r>
      <w:r w:rsidR="00F852DA">
        <w:rPr>
          <w:rFonts w:ascii="Arial" w:hAnsi="Arial" w:cs="Arial"/>
          <w:sz w:val="20"/>
          <w:szCs w:val="20"/>
        </w:rPr>
        <w:t>with a resolution and range that</w:t>
      </w:r>
      <w:r w:rsidR="00036344">
        <w:rPr>
          <w:rFonts w:ascii="Arial" w:hAnsi="Arial" w:cs="Arial"/>
          <w:sz w:val="20"/>
          <w:szCs w:val="20"/>
        </w:rPr>
        <w:t xml:space="preserve"> </w:t>
      </w:r>
      <w:r w:rsidR="005E49E3">
        <w:rPr>
          <w:rFonts w:ascii="Arial" w:hAnsi="Arial" w:cs="Arial"/>
          <w:sz w:val="20"/>
          <w:szCs w:val="20"/>
        </w:rPr>
        <w:t>matches the NR basic time unit.</w:t>
      </w:r>
    </w:p>
    <w:p w14:paraId="4E285774" w14:textId="00E7A802" w:rsidR="00862303" w:rsidRDefault="00962F86" w:rsidP="00BD1266">
      <w:pPr>
        <w:pStyle w:val="BodyText"/>
      </w:pPr>
      <w:r>
        <w:t xml:space="preserve">As per the agreement above, an MeNB can only configure a </w:t>
      </w:r>
      <w:r w:rsidR="005E1C08">
        <w:t>boundary</w:t>
      </w:r>
      <w:r w:rsidRPr="00D86DB0">
        <w:t xml:space="preserve"> offset reporting for PSCell only when EN-DC is configured</w:t>
      </w:r>
      <w:r>
        <w:t>. However, we believe that this is an unfortunate restriction</w:t>
      </w:r>
      <w:r w:rsidR="00862303">
        <w:t xml:space="preserve">. Knowledge about the </w:t>
      </w:r>
      <w:r w:rsidR="005E49E3">
        <w:t>boundary</w:t>
      </w:r>
      <w:r w:rsidR="00862303">
        <w:t xml:space="preserve"> offset also for candidate SeNBs and PSCells is valuable when selecting appropriate cells(s) to configure dual connectivity for. </w:t>
      </w:r>
    </w:p>
    <w:p w14:paraId="21AB0FEF" w14:textId="06C76AD9" w:rsidR="00BD1266" w:rsidRPr="00BD1266" w:rsidRDefault="00E269B0" w:rsidP="005E1C08">
      <w:pPr>
        <w:pStyle w:val="Proposal"/>
        <w:numPr>
          <w:ilvl w:val="0"/>
          <w:numId w:val="0"/>
        </w:numPr>
        <w:ind w:left="1701" w:hanging="1701"/>
        <w:jc w:val="both"/>
        <w:rPr>
          <w:rFonts w:ascii="Arial" w:hAnsi="Arial" w:cs="Arial"/>
          <w:sz w:val="20"/>
          <w:szCs w:val="20"/>
        </w:rPr>
      </w:pPr>
      <w:r>
        <w:rPr>
          <w:rFonts w:ascii="Arial" w:hAnsi="Arial" w:cs="Arial"/>
          <w:sz w:val="20"/>
          <w:szCs w:val="20"/>
        </w:rPr>
        <w:t>Proposal 3</w:t>
      </w:r>
      <w:r>
        <w:rPr>
          <w:rFonts w:ascii="Arial" w:hAnsi="Arial" w:cs="Arial"/>
          <w:sz w:val="20"/>
          <w:szCs w:val="20"/>
        </w:rPr>
        <w:tab/>
      </w:r>
      <w:r w:rsidR="00967AD9">
        <w:rPr>
          <w:rFonts w:ascii="Arial" w:hAnsi="Arial" w:cs="Arial"/>
          <w:sz w:val="20"/>
          <w:szCs w:val="20"/>
        </w:rPr>
        <w:t xml:space="preserve">A serving eNB can </w:t>
      </w:r>
      <w:r w:rsidR="00BD1266">
        <w:rPr>
          <w:rFonts w:ascii="Arial" w:hAnsi="Arial" w:cs="Arial"/>
          <w:sz w:val="20"/>
          <w:szCs w:val="20"/>
        </w:rPr>
        <w:t xml:space="preserve">configure </w:t>
      </w:r>
      <w:r w:rsidR="00862303">
        <w:rPr>
          <w:rFonts w:ascii="Arial" w:hAnsi="Arial" w:cs="Arial"/>
          <w:sz w:val="20"/>
          <w:szCs w:val="20"/>
        </w:rPr>
        <w:t xml:space="preserve">a </w:t>
      </w:r>
      <w:r>
        <w:rPr>
          <w:rFonts w:ascii="Arial" w:hAnsi="Arial" w:cs="Arial"/>
          <w:sz w:val="20"/>
          <w:szCs w:val="20"/>
        </w:rPr>
        <w:t>boundary</w:t>
      </w:r>
      <w:r w:rsidR="00862303">
        <w:rPr>
          <w:rFonts w:ascii="Arial" w:hAnsi="Arial" w:cs="Arial"/>
          <w:sz w:val="20"/>
          <w:szCs w:val="20"/>
        </w:rPr>
        <w:t xml:space="preserve"> offset reporting also </w:t>
      </w:r>
      <w:r w:rsidR="008F53FF">
        <w:rPr>
          <w:rFonts w:ascii="Arial" w:hAnsi="Arial" w:cs="Arial"/>
          <w:sz w:val="20"/>
          <w:szCs w:val="20"/>
        </w:rPr>
        <w:t>for cells not configured for</w:t>
      </w:r>
      <w:r w:rsidR="00862303">
        <w:rPr>
          <w:rFonts w:ascii="Arial" w:hAnsi="Arial" w:cs="Arial"/>
          <w:sz w:val="20"/>
          <w:szCs w:val="20"/>
        </w:rPr>
        <w:t xml:space="preserve"> EN-DC. </w:t>
      </w:r>
    </w:p>
    <w:p w14:paraId="0EA3E36A" w14:textId="77777777" w:rsidR="00D8203B" w:rsidRPr="00573E9E" w:rsidRDefault="00D8203B" w:rsidP="00D8203B">
      <w:pPr>
        <w:pStyle w:val="Heading1"/>
        <w:rPr>
          <w:lang w:val="en-US"/>
        </w:rPr>
      </w:pPr>
      <w:bookmarkStart w:id="5" w:name="_Toc461106288"/>
      <w:bookmarkEnd w:id="3"/>
      <w:bookmarkEnd w:id="4"/>
      <w:bookmarkEnd w:id="5"/>
      <w:r w:rsidRPr="00573E9E">
        <w:rPr>
          <w:lang w:val="en-US"/>
        </w:rPr>
        <w:t>Conclusion</w:t>
      </w:r>
    </w:p>
    <w:p w14:paraId="7236157F" w14:textId="7A02C6A7" w:rsidR="001F17D7" w:rsidRDefault="00012F36" w:rsidP="001F17D7">
      <w:pPr>
        <w:pStyle w:val="Proposal"/>
        <w:numPr>
          <w:ilvl w:val="0"/>
          <w:numId w:val="0"/>
        </w:numPr>
        <w:rPr>
          <w:rFonts w:ascii="Arial" w:hAnsi="Arial" w:cs="Arial"/>
          <w:b w:val="0"/>
          <w:sz w:val="20"/>
        </w:rPr>
      </w:pPr>
      <w:bookmarkStart w:id="6" w:name="_Toc485398802"/>
      <w:bookmarkStart w:id="7" w:name="_Toc485417365"/>
      <w:r>
        <w:rPr>
          <w:rFonts w:ascii="Arial" w:hAnsi="Arial" w:cs="Arial"/>
          <w:b w:val="0"/>
          <w:sz w:val="20"/>
        </w:rPr>
        <w:t xml:space="preserve">In this contribution, we discuss the SSTD measurement configuration and reporting. In particular, we have the following </w:t>
      </w:r>
      <w:r w:rsidR="005E49E3">
        <w:rPr>
          <w:rFonts w:ascii="Arial" w:hAnsi="Arial" w:cs="Arial"/>
          <w:b w:val="0"/>
          <w:sz w:val="20"/>
        </w:rPr>
        <w:t>observation</w:t>
      </w:r>
      <w:r w:rsidR="00022FF7" w:rsidRPr="00E30549">
        <w:rPr>
          <w:rFonts w:ascii="Arial" w:hAnsi="Arial" w:cs="Arial"/>
          <w:b w:val="0"/>
          <w:sz w:val="20"/>
        </w:rPr>
        <w:t>:</w:t>
      </w:r>
      <w:bookmarkEnd w:id="6"/>
      <w:bookmarkEnd w:id="7"/>
    </w:p>
    <w:p w14:paraId="2BEE129E" w14:textId="77777777" w:rsidR="005E49E3" w:rsidRDefault="005E49E3" w:rsidP="005E49E3">
      <w:pPr>
        <w:ind w:left="1701" w:hanging="1701"/>
        <w:rPr>
          <w:b/>
          <w:lang w:eastAsia="zh-CN"/>
        </w:rPr>
      </w:pPr>
      <w:r w:rsidRPr="00E81EE1">
        <w:rPr>
          <w:b/>
          <w:lang w:eastAsia="zh-CN"/>
        </w:rPr>
        <w:t>Observation 1</w:t>
      </w:r>
      <w:r w:rsidRPr="00E81EE1">
        <w:rPr>
          <w:b/>
          <w:lang w:eastAsia="zh-CN"/>
        </w:rPr>
        <w:tab/>
        <w:t>RAN4 has discussed issues with the different TTI lengths of NR, which makes reporting of TTI boundary offsets more appropriate</w:t>
      </w:r>
      <w:r>
        <w:rPr>
          <w:b/>
          <w:lang w:eastAsia="zh-CN"/>
        </w:rPr>
        <w:t xml:space="preserve"> than SFN/subframe boundary offsets</w:t>
      </w:r>
      <w:r w:rsidRPr="00E81EE1">
        <w:rPr>
          <w:b/>
          <w:lang w:eastAsia="zh-CN"/>
        </w:rPr>
        <w:t>.</w:t>
      </w:r>
    </w:p>
    <w:p w14:paraId="183E5FCE" w14:textId="168F05AC" w:rsidR="005E49E3" w:rsidRPr="00E30549" w:rsidRDefault="005E49E3" w:rsidP="001F17D7">
      <w:pPr>
        <w:pStyle w:val="Proposal"/>
        <w:numPr>
          <w:ilvl w:val="0"/>
          <w:numId w:val="0"/>
        </w:numPr>
        <w:rPr>
          <w:rFonts w:ascii="Arial" w:hAnsi="Arial" w:cs="Arial"/>
          <w:b w:val="0"/>
          <w:sz w:val="20"/>
        </w:rPr>
      </w:pPr>
      <w:r>
        <w:rPr>
          <w:rFonts w:ascii="Arial" w:hAnsi="Arial" w:cs="Arial"/>
          <w:b w:val="0"/>
          <w:sz w:val="20"/>
        </w:rPr>
        <w:t>and proposals:</w:t>
      </w:r>
    </w:p>
    <w:p w14:paraId="46121AF7" w14:textId="77777777" w:rsidR="005E49E3" w:rsidRPr="00E81EE1" w:rsidRDefault="005E49E3" w:rsidP="005E49E3">
      <w:pPr>
        <w:ind w:left="1701" w:hanging="1701"/>
        <w:rPr>
          <w:b/>
          <w:lang w:eastAsia="zh-CN"/>
        </w:rPr>
      </w:pPr>
      <w:bookmarkStart w:id="8" w:name="_In-sequence_SDU_delivery"/>
      <w:bookmarkEnd w:id="8"/>
      <w:r>
        <w:rPr>
          <w:b/>
          <w:lang w:eastAsia="zh-CN"/>
        </w:rPr>
        <w:t>Proposal 1</w:t>
      </w:r>
      <w:r>
        <w:rPr>
          <w:b/>
          <w:lang w:eastAsia="zh-CN"/>
        </w:rPr>
        <w:tab/>
        <w:t>RAN2 shall await input from RAN4 before deciding the SSTD measurement report design and scope.</w:t>
      </w:r>
    </w:p>
    <w:p w14:paraId="27DE6396" w14:textId="6A27ACA7" w:rsidR="005E49E3" w:rsidRDefault="005E49E3" w:rsidP="005E49E3">
      <w:pPr>
        <w:pStyle w:val="Proposal"/>
        <w:numPr>
          <w:ilvl w:val="0"/>
          <w:numId w:val="0"/>
        </w:numPr>
        <w:ind w:left="1701" w:hanging="1701"/>
        <w:jc w:val="both"/>
        <w:rPr>
          <w:rFonts w:ascii="Arial" w:hAnsi="Arial" w:cs="Arial"/>
          <w:sz w:val="20"/>
          <w:szCs w:val="20"/>
        </w:rPr>
      </w:pPr>
      <w:r>
        <w:rPr>
          <w:rFonts w:ascii="Arial" w:hAnsi="Arial" w:cs="Arial"/>
          <w:sz w:val="20"/>
          <w:szCs w:val="20"/>
        </w:rPr>
        <w:t>Proposal 2</w:t>
      </w:r>
      <w:r>
        <w:rPr>
          <w:rFonts w:ascii="Arial" w:hAnsi="Arial" w:cs="Arial"/>
          <w:sz w:val="20"/>
          <w:szCs w:val="20"/>
        </w:rPr>
        <w:tab/>
        <w:t>Define the boundary offset of the SSTD measurement report with a resolution and range that matches the NR basic time unit.</w:t>
      </w:r>
    </w:p>
    <w:p w14:paraId="19B0C215" w14:textId="77777777" w:rsidR="005E49E3" w:rsidRPr="00BD1266" w:rsidRDefault="005E49E3" w:rsidP="005E49E3">
      <w:pPr>
        <w:pStyle w:val="Proposal"/>
        <w:numPr>
          <w:ilvl w:val="0"/>
          <w:numId w:val="0"/>
        </w:numPr>
        <w:ind w:left="1701" w:hanging="1701"/>
        <w:jc w:val="both"/>
        <w:rPr>
          <w:rFonts w:ascii="Arial" w:hAnsi="Arial" w:cs="Arial"/>
          <w:sz w:val="20"/>
          <w:szCs w:val="20"/>
        </w:rPr>
      </w:pPr>
      <w:r>
        <w:rPr>
          <w:rFonts w:ascii="Arial" w:hAnsi="Arial" w:cs="Arial"/>
          <w:sz w:val="20"/>
          <w:szCs w:val="20"/>
        </w:rPr>
        <w:t>Proposal 3</w:t>
      </w:r>
      <w:r>
        <w:rPr>
          <w:rFonts w:ascii="Arial" w:hAnsi="Arial" w:cs="Arial"/>
          <w:sz w:val="20"/>
          <w:szCs w:val="20"/>
        </w:rPr>
        <w:tab/>
        <w:t xml:space="preserve">A serving eNB can configure a boundary offset reporting also for cells not configured for EN-DC. </w:t>
      </w:r>
    </w:p>
    <w:p w14:paraId="127010A3" w14:textId="5DFD9485" w:rsidR="00D8203B" w:rsidRPr="00573E9E" w:rsidRDefault="00D8203B" w:rsidP="00963032">
      <w:pPr>
        <w:pStyle w:val="Heading1"/>
        <w:rPr>
          <w:lang w:val="en-US"/>
        </w:rPr>
      </w:pPr>
      <w:r w:rsidRPr="00573E9E">
        <w:rPr>
          <w:lang w:val="en-US"/>
        </w:rPr>
        <w:t>References</w:t>
      </w:r>
    </w:p>
    <w:p w14:paraId="097C156B" w14:textId="15C68CAD" w:rsidR="00CF1E17" w:rsidRDefault="00655B89" w:rsidP="00655B89">
      <w:pPr>
        <w:pStyle w:val="Reference"/>
        <w:rPr>
          <w:rFonts w:ascii="Arial" w:hAnsi="Arial" w:cs="Arial"/>
          <w:sz w:val="20"/>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655B89">
        <w:rPr>
          <w:rFonts w:ascii="Arial" w:hAnsi="Arial" w:cs="Arial"/>
          <w:sz w:val="20"/>
        </w:rPr>
        <w:t xml:space="preserve">R2-1711963 </w:t>
      </w:r>
      <w:r w:rsidR="000D0DC0" w:rsidRPr="00655B89">
        <w:rPr>
          <w:rFonts w:ascii="Arial" w:hAnsi="Arial" w:cs="Arial"/>
          <w:sz w:val="20"/>
        </w:rPr>
        <w:t>RAN2-99-32-Email Discussion 32 TP on RRM-summary</w:t>
      </w:r>
      <w:bookmarkEnd w:id="9"/>
    </w:p>
    <w:p w14:paraId="7D0F914D" w14:textId="0242E88E" w:rsidR="00A0660B" w:rsidRPr="00655B89" w:rsidRDefault="00A0660B" w:rsidP="00A0660B">
      <w:pPr>
        <w:pStyle w:val="Reference"/>
        <w:rPr>
          <w:rFonts w:ascii="Arial" w:hAnsi="Arial" w:cs="Arial"/>
          <w:sz w:val="20"/>
        </w:rPr>
      </w:pPr>
      <w:r w:rsidRPr="00A0660B">
        <w:rPr>
          <w:rFonts w:ascii="Arial" w:hAnsi="Arial" w:cs="Arial"/>
          <w:sz w:val="20"/>
        </w:rPr>
        <w:t>R2-1711</w:t>
      </w:r>
      <w:r>
        <w:rPr>
          <w:rFonts w:ascii="Arial" w:hAnsi="Arial" w:cs="Arial"/>
          <w:sz w:val="20"/>
        </w:rPr>
        <w:t>120</w:t>
      </w:r>
      <w:r>
        <w:rPr>
          <w:rFonts w:ascii="Arial" w:hAnsi="Arial" w:cs="Arial"/>
          <w:sz w:val="20"/>
        </w:rPr>
        <w:tab/>
        <w:t xml:space="preserve">SSTD measurements for EN-DC, </w:t>
      </w:r>
      <w:r w:rsidRPr="00A0660B">
        <w:rPr>
          <w:rFonts w:ascii="Arial" w:hAnsi="Arial" w:cs="Arial"/>
          <w:sz w:val="20"/>
        </w:rPr>
        <w:t>NTT DOCOMO, INC</w:t>
      </w:r>
    </w:p>
    <w:bookmarkEnd w:id="10"/>
    <w:bookmarkEnd w:id="11"/>
    <w:bookmarkEnd w:id="12"/>
    <w:bookmarkEnd w:id="13"/>
    <w:bookmarkEnd w:id="14"/>
    <w:bookmarkEnd w:id="15"/>
    <w:p w14:paraId="1610256F" w14:textId="77777777" w:rsidR="00C47A40" w:rsidRPr="00E30549" w:rsidRDefault="00C47A40" w:rsidP="003942E7">
      <w:pPr>
        <w:pStyle w:val="Reference"/>
        <w:numPr>
          <w:ilvl w:val="0"/>
          <w:numId w:val="0"/>
        </w:numPr>
        <w:ind w:left="567" w:hanging="567"/>
        <w:rPr>
          <w:rFonts w:ascii="Arial" w:hAnsi="Arial" w:cs="Arial"/>
          <w:sz w:val="20"/>
          <w:szCs w:val="20"/>
        </w:rPr>
      </w:pPr>
    </w:p>
    <w:sectPr w:rsidR="00C47A40" w:rsidRPr="00E305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4FF4D" w14:textId="77777777" w:rsidR="0020370F" w:rsidRDefault="0020370F">
      <w:r>
        <w:separator/>
      </w:r>
    </w:p>
  </w:endnote>
  <w:endnote w:type="continuationSeparator" w:id="0">
    <w:p w14:paraId="2BE59F3A" w14:textId="77777777" w:rsidR="0020370F" w:rsidRDefault="0020370F">
      <w:r>
        <w:continuationSeparator/>
      </w:r>
    </w:p>
  </w:endnote>
  <w:endnote w:type="continuationNotice" w:id="1">
    <w:p w14:paraId="3E68EC27" w14:textId="77777777" w:rsidR="0020370F" w:rsidRDefault="002037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E4609" w14:textId="77777777" w:rsidR="0020370F" w:rsidRDefault="0020370F">
      <w:r>
        <w:separator/>
      </w:r>
    </w:p>
  </w:footnote>
  <w:footnote w:type="continuationSeparator" w:id="0">
    <w:p w14:paraId="78AF1219" w14:textId="77777777" w:rsidR="0020370F" w:rsidRDefault="0020370F">
      <w:r>
        <w:continuationSeparator/>
      </w:r>
    </w:p>
  </w:footnote>
  <w:footnote w:type="continuationNotice" w:id="1">
    <w:p w14:paraId="5DE71470" w14:textId="77777777" w:rsidR="0020370F" w:rsidRDefault="002037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19"/>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0"/>
  </w:num>
  <w:num w:numId="21">
    <w:abstractNumId w:val="16"/>
    <w:lvlOverride w:ilvl="0">
      <w:startOverride w:val="1"/>
    </w:lvlOverride>
  </w:num>
  <w:num w:numId="22">
    <w:abstractNumId w:val="9"/>
    <w:lvlOverride w:ilvl="0">
      <w:startOverride w:val="1"/>
    </w:lvlOverride>
  </w:num>
  <w:num w:numId="23">
    <w:abstractNumId w:val="22"/>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8"/>
  </w:num>
  <w:num w:numId="30">
    <w:abstractNumId w:val="7"/>
  </w:num>
  <w:num w:numId="31">
    <w:abstractNumId w:val="21"/>
  </w:num>
  <w:num w:numId="32">
    <w:abstractNumId w:val="9"/>
    <w:lvlOverride w:ilvl="0">
      <w:startOverride w:val="1"/>
    </w:lvlOverride>
  </w:num>
  <w:num w:numId="33">
    <w:abstractNumId w:val="16"/>
    <w:lvlOverride w:ilvl="0">
      <w:startOverride w:val="1"/>
    </w:lvlOverride>
  </w:num>
  <w:num w:numId="3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564D"/>
    <w:rsid w:val="00025ECA"/>
    <w:rsid w:val="00027939"/>
    <w:rsid w:val="000325B8"/>
    <w:rsid w:val="00032AB4"/>
    <w:rsid w:val="0003488A"/>
    <w:rsid w:val="00034C15"/>
    <w:rsid w:val="00036344"/>
    <w:rsid w:val="00036A0D"/>
    <w:rsid w:val="00036BA1"/>
    <w:rsid w:val="00037CDE"/>
    <w:rsid w:val="000422E2"/>
    <w:rsid w:val="00042F22"/>
    <w:rsid w:val="000444EF"/>
    <w:rsid w:val="00047463"/>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370F"/>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7BA1"/>
    <w:rsid w:val="003112B9"/>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6BBE"/>
    <w:rsid w:val="004000E8"/>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432E"/>
    <w:rsid w:val="00486FD1"/>
    <w:rsid w:val="004878AA"/>
    <w:rsid w:val="00490F3E"/>
    <w:rsid w:val="00492BC5"/>
    <w:rsid w:val="004964F1"/>
    <w:rsid w:val="004A16BC"/>
    <w:rsid w:val="004A2B94"/>
    <w:rsid w:val="004B2652"/>
    <w:rsid w:val="004B7C0C"/>
    <w:rsid w:val="004C31A7"/>
    <w:rsid w:val="004C3898"/>
    <w:rsid w:val="004C6623"/>
    <w:rsid w:val="004D36B1"/>
    <w:rsid w:val="004D7EBD"/>
    <w:rsid w:val="004E031B"/>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1534"/>
    <w:rsid w:val="005338D0"/>
    <w:rsid w:val="00534B59"/>
    <w:rsid w:val="00536759"/>
    <w:rsid w:val="00537C62"/>
    <w:rsid w:val="00540030"/>
    <w:rsid w:val="00546970"/>
    <w:rsid w:val="00553426"/>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35D7"/>
    <w:rsid w:val="005B392A"/>
    <w:rsid w:val="005B3AA3"/>
    <w:rsid w:val="005B6F83"/>
    <w:rsid w:val="005C20E6"/>
    <w:rsid w:val="005C4F5C"/>
    <w:rsid w:val="005C5CFB"/>
    <w:rsid w:val="005C74FB"/>
    <w:rsid w:val="005D1602"/>
    <w:rsid w:val="005D3CDD"/>
    <w:rsid w:val="005E1C08"/>
    <w:rsid w:val="005E2503"/>
    <w:rsid w:val="005E385F"/>
    <w:rsid w:val="005E49E3"/>
    <w:rsid w:val="005E5B81"/>
    <w:rsid w:val="005F08BE"/>
    <w:rsid w:val="005F1AE1"/>
    <w:rsid w:val="005F2CB1"/>
    <w:rsid w:val="005F3025"/>
    <w:rsid w:val="005F4D03"/>
    <w:rsid w:val="005F618C"/>
    <w:rsid w:val="005F70BD"/>
    <w:rsid w:val="0060283C"/>
    <w:rsid w:val="00604F14"/>
    <w:rsid w:val="00605F62"/>
    <w:rsid w:val="00611B83"/>
    <w:rsid w:val="006121B1"/>
    <w:rsid w:val="00613257"/>
    <w:rsid w:val="00620A71"/>
    <w:rsid w:val="00620D80"/>
    <w:rsid w:val="006234A6"/>
    <w:rsid w:val="00624D23"/>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1D51"/>
    <w:rsid w:val="0067218F"/>
    <w:rsid w:val="006741F2"/>
    <w:rsid w:val="00674CC3"/>
    <w:rsid w:val="00675C72"/>
    <w:rsid w:val="006771F9"/>
    <w:rsid w:val="006776D7"/>
    <w:rsid w:val="00681003"/>
    <w:rsid w:val="00681129"/>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44F"/>
    <w:rsid w:val="00712772"/>
    <w:rsid w:val="00713B91"/>
    <w:rsid w:val="007146AF"/>
    <w:rsid w:val="007148D3"/>
    <w:rsid w:val="00715B9A"/>
    <w:rsid w:val="00721593"/>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604B2"/>
    <w:rsid w:val="00760B4A"/>
    <w:rsid w:val="00762A31"/>
    <w:rsid w:val="00765281"/>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717"/>
    <w:rsid w:val="008158D6"/>
    <w:rsid w:val="00816764"/>
    <w:rsid w:val="00817196"/>
    <w:rsid w:val="00817EDE"/>
    <w:rsid w:val="0082188F"/>
    <w:rsid w:val="008235DB"/>
    <w:rsid w:val="00824AB4"/>
    <w:rsid w:val="008256C6"/>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310E"/>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1909"/>
    <w:rsid w:val="008E4346"/>
    <w:rsid w:val="008E7777"/>
    <w:rsid w:val="008F109D"/>
    <w:rsid w:val="008F1EAB"/>
    <w:rsid w:val="008F33DC"/>
    <w:rsid w:val="008F477F"/>
    <w:rsid w:val="008F53F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39B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7A3"/>
    <w:rsid w:val="009F08F3"/>
    <w:rsid w:val="009F1ECE"/>
    <w:rsid w:val="009F2D8E"/>
    <w:rsid w:val="009F344F"/>
    <w:rsid w:val="009F5D03"/>
    <w:rsid w:val="00A01092"/>
    <w:rsid w:val="00A048A8"/>
    <w:rsid w:val="00A04F49"/>
    <w:rsid w:val="00A0660B"/>
    <w:rsid w:val="00A07855"/>
    <w:rsid w:val="00A1338C"/>
    <w:rsid w:val="00A13E54"/>
    <w:rsid w:val="00A17C34"/>
    <w:rsid w:val="00A17F63"/>
    <w:rsid w:val="00A2193B"/>
    <w:rsid w:val="00A2351A"/>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38E2"/>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2C0C"/>
    <w:rsid w:val="00B45A52"/>
    <w:rsid w:val="00B46175"/>
    <w:rsid w:val="00B47CB1"/>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6FAA"/>
    <w:rsid w:val="00C279B5"/>
    <w:rsid w:val="00C27C45"/>
    <w:rsid w:val="00C31373"/>
    <w:rsid w:val="00C36DB8"/>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4B8"/>
    <w:rsid w:val="00D438BF"/>
    <w:rsid w:val="00D440F8"/>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03F0"/>
    <w:rsid w:val="00DC2D36"/>
    <w:rsid w:val="00DC43C8"/>
    <w:rsid w:val="00DC53EF"/>
    <w:rsid w:val="00DD3821"/>
    <w:rsid w:val="00DE5608"/>
    <w:rsid w:val="00DE58D0"/>
    <w:rsid w:val="00DE59B4"/>
    <w:rsid w:val="00DE654F"/>
    <w:rsid w:val="00DF0B6E"/>
    <w:rsid w:val="00DF15E0"/>
    <w:rsid w:val="00DF2EA1"/>
    <w:rsid w:val="00DF3132"/>
    <w:rsid w:val="00DF37A0"/>
    <w:rsid w:val="00DF5C56"/>
    <w:rsid w:val="00E0033A"/>
    <w:rsid w:val="00E05BB7"/>
    <w:rsid w:val="00E110E7"/>
    <w:rsid w:val="00E11B20"/>
    <w:rsid w:val="00E16F3C"/>
    <w:rsid w:val="00E17FA2"/>
    <w:rsid w:val="00E22330"/>
    <w:rsid w:val="00E25A25"/>
    <w:rsid w:val="00E269B0"/>
    <w:rsid w:val="00E30549"/>
    <w:rsid w:val="00E30B5A"/>
    <w:rsid w:val="00E3123D"/>
    <w:rsid w:val="00E31461"/>
    <w:rsid w:val="00E31D43"/>
    <w:rsid w:val="00E32608"/>
    <w:rsid w:val="00E34188"/>
    <w:rsid w:val="00E345CD"/>
    <w:rsid w:val="00E34B6E"/>
    <w:rsid w:val="00E35559"/>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58EC"/>
    <w:rsid w:val="00E81EE1"/>
    <w:rsid w:val="00E8234C"/>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3FF9"/>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D1"/>
    <w:rsid w:val="00F519CE"/>
    <w:rsid w:val="00F51ADA"/>
    <w:rsid w:val="00F55DB2"/>
    <w:rsid w:val="00F55E65"/>
    <w:rsid w:val="00F56EB1"/>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2DA"/>
    <w:rsid w:val="00F859D8"/>
    <w:rsid w:val="00F868F5"/>
    <w:rsid w:val="00F9056A"/>
    <w:rsid w:val="00F90F8D"/>
    <w:rsid w:val="00F912EA"/>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9B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739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9B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5NUHHDQN7SK2-1-186135</_dlc_DocId>
    <TaxCatchAll xmlns="08b2df90-05d3-4030-90d4-c9feeb4a1cd9">
      <Value>2</Value>
      <Value>1</Value>
    </TaxCatchAll>
    <_dlc_DocIdUrl xmlns="08b2df90-05d3-4030-90d4-c9feeb4a1cd9">
      <Url>https://ericoll.internal.ericsson.com/sites/star/_layouts/DocIdRedir.aspx?ID=5NUHHDQN7SK2-1-186135</Url>
      <Description>5NUHHDQN7SK2-1-186135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7B2F56D7-66A9-4E86-B744-516B029FF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3FB7A-69C7-4B54-B28F-149A11F039ED}">
  <ds:schemaRefs>
    <ds:schemaRef ds:uri="Microsoft.SharePoint.Taxonomy.ContentTypeSync"/>
  </ds:schemaRefs>
</ds:datastoreItem>
</file>

<file path=customXml/itemProps4.xml><?xml version="1.0" encoding="utf-8"?>
<ds:datastoreItem xmlns:ds="http://schemas.openxmlformats.org/officeDocument/2006/customXml" ds:itemID="{1846004A-C0B8-42F0-A01E-5A5AC5398A4B}">
  <ds:schemaRefs>
    <ds:schemaRef ds:uri="http://schemas.microsoft.com/office/2006/metadata/properties"/>
    <ds:schemaRef ds:uri="http://purl.org/dc/terms/"/>
    <ds:schemaRef ds:uri="http://schemas.microsoft.com/office/2006/documentManagement/types"/>
    <ds:schemaRef ds:uri="http://schemas.microsoft.com/sharepoint/v4"/>
    <ds:schemaRef ds:uri="http://purl.org/dc/dcmitype/"/>
    <ds:schemaRef ds:uri="http://purl.org/dc/elements/1.1/"/>
    <ds:schemaRef ds:uri="7789c8df-cd92-43c1-8a83-195dbc0f0a0a"/>
    <ds:schemaRef ds:uri="http://schemas.microsoft.com/office/infopath/2007/PartnerControls"/>
    <ds:schemaRef ds:uri="http://schemas.openxmlformats.org/package/2006/metadata/core-properties"/>
    <ds:schemaRef ds:uri="08b2df90-05d3-4030-90d4-c9feeb4a1cd9"/>
    <ds:schemaRef ds:uri="http://www.w3.org/XML/1998/namespace"/>
  </ds:schemaRefs>
</ds:datastoreItem>
</file>

<file path=customXml/itemProps5.xml><?xml version="1.0" encoding="utf-8"?>
<ds:datastoreItem xmlns:ds="http://schemas.openxmlformats.org/officeDocument/2006/customXml" ds:itemID="{E8A8478D-CABD-4EBB-9E67-F03D194B3F1A}">
  <ds:schemaRefs>
    <ds:schemaRef ds:uri="http://schemas.microsoft.com/sharepoint/events"/>
  </ds:schemaRefs>
</ds:datastoreItem>
</file>

<file path=customXml/itemProps6.xml><?xml version="1.0" encoding="utf-8"?>
<ds:datastoreItem xmlns:ds="http://schemas.openxmlformats.org/officeDocument/2006/customXml" ds:itemID="{13A5D01F-093E-4F56-92C3-B0CBA3531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2017-11-17T02:46:00Z</dcterms:created>
  <dcterms:modified xsi:type="dcterms:W3CDTF">2017-11-17T02:46:00Z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85753f4e-e466-4f22-89ee-43f40176864c</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